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3" w:rsidRPr="001A1283" w:rsidRDefault="001A1283" w:rsidP="001A1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83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1A1283">
        <w:rPr>
          <w:rFonts w:ascii="Times New Roman" w:hAnsi="Times New Roman" w:cs="Times New Roman"/>
          <w:b/>
          <w:sz w:val="28"/>
          <w:szCs w:val="28"/>
        </w:rPr>
        <w:t>Резолюци</w:t>
      </w:r>
      <w:r w:rsidRPr="001A1283">
        <w:rPr>
          <w:rFonts w:ascii="Times New Roman" w:hAnsi="Times New Roman" w:cs="Times New Roman"/>
          <w:b/>
          <w:sz w:val="28"/>
          <w:szCs w:val="28"/>
        </w:rPr>
        <w:t>и</w:t>
      </w:r>
      <w:r w:rsidRPr="001A1283">
        <w:rPr>
          <w:rFonts w:ascii="Times New Roman" w:hAnsi="Times New Roman" w:cs="Times New Roman"/>
          <w:b/>
          <w:sz w:val="28"/>
          <w:szCs w:val="28"/>
        </w:rPr>
        <w:t xml:space="preserve"> ИМО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А.953(23)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Резолюция ИМО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А.953(23)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World-Wide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Radionavigation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System</w:t>
      </w:r>
      <w:proofErr w:type="spellEnd"/>
      <w:r w:rsidRPr="001A1283">
        <w:rPr>
          <w:rFonts w:ascii="Times New Roman" w:hAnsi="Times New Roman" w:cs="Times New Roman"/>
          <w:sz w:val="28"/>
          <w:szCs w:val="28"/>
        </w:rPr>
        <w:t xml:space="preserve">, принятая в 2003 году, </w:t>
      </w:r>
      <w:r w:rsidRPr="001A1283">
        <w:rPr>
          <w:rFonts w:ascii="Times New Roman" w:hAnsi="Times New Roman" w:cs="Times New Roman"/>
          <w:b/>
          <w:sz w:val="28"/>
          <w:szCs w:val="28"/>
        </w:rPr>
        <w:t>отменила</w:t>
      </w:r>
      <w:r w:rsidRPr="001A1283">
        <w:rPr>
          <w:rFonts w:ascii="Times New Roman" w:hAnsi="Times New Roman" w:cs="Times New Roman"/>
          <w:sz w:val="28"/>
          <w:szCs w:val="28"/>
        </w:rPr>
        <w:t xml:space="preserve"> резолюцию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А.529(13)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Accuracy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Standards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1283">
        <w:rPr>
          <w:rFonts w:ascii="Times New Roman" w:hAnsi="Times New Roman" w:cs="Times New Roman"/>
          <w:b/>
          <w:bCs/>
          <w:sz w:val="28"/>
          <w:szCs w:val="28"/>
        </w:rPr>
        <w:t>Navigation</w:t>
      </w:r>
      <w:proofErr w:type="spellEnd"/>
      <w:r w:rsidRPr="001A1283">
        <w:rPr>
          <w:rFonts w:ascii="Times New Roman" w:hAnsi="Times New Roman" w:cs="Times New Roman"/>
          <w:b/>
          <w:bCs/>
          <w:sz w:val="28"/>
          <w:szCs w:val="28"/>
        </w:rPr>
        <w:t xml:space="preserve"> 1983</w:t>
      </w:r>
      <w:r w:rsidRPr="001A1283">
        <w:rPr>
          <w:rFonts w:ascii="Times New Roman" w:hAnsi="Times New Roman" w:cs="Times New Roman"/>
          <w:sz w:val="28"/>
          <w:szCs w:val="28"/>
        </w:rPr>
        <w:t xml:space="preserve"> года, что послужило концом переворота подхода к определению позиции судна и оценки ее точности.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В резолюции А.529(13) приведены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стандарты точности судовождения</w:t>
      </w:r>
      <w:r w:rsidRPr="001A1283">
        <w:rPr>
          <w:rFonts w:ascii="Times New Roman" w:hAnsi="Times New Roman" w:cs="Times New Roman"/>
          <w:sz w:val="28"/>
          <w:szCs w:val="28"/>
        </w:rPr>
        <w:t>, по которым может оцениваться эффективность работы систем, предназначенных для определения места судна, следующего со скоростью не более 30 уз:</w:t>
      </w:r>
    </w:p>
    <w:p w:rsidR="001A1283" w:rsidRPr="001A1283" w:rsidRDefault="00CC5EAB" w:rsidP="001A128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b/>
          <w:bCs/>
          <w:sz w:val="28"/>
          <w:szCs w:val="28"/>
        </w:rPr>
        <w:t>в портовых водах и водах, где свобода маневра ограничена,</w:t>
      </w:r>
      <w:r w:rsidRPr="001A1283">
        <w:rPr>
          <w:rFonts w:ascii="Times New Roman" w:hAnsi="Times New Roman" w:cs="Times New Roman"/>
          <w:sz w:val="28"/>
          <w:szCs w:val="28"/>
        </w:rPr>
        <w:t xml:space="preserve"> стандарт точности определяется в зависимости от местных обстоятельств;</w:t>
      </w:r>
    </w:p>
    <w:p w:rsidR="00CC5EAB" w:rsidRPr="001A1283" w:rsidRDefault="00CC5EAB" w:rsidP="001A128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b/>
          <w:bCs/>
          <w:sz w:val="28"/>
          <w:szCs w:val="28"/>
        </w:rPr>
        <w:t>в остальных водах</w:t>
      </w:r>
      <w:r w:rsidRPr="001A1283">
        <w:rPr>
          <w:rFonts w:ascii="Times New Roman" w:hAnsi="Times New Roman" w:cs="Times New Roman"/>
          <w:sz w:val="28"/>
          <w:szCs w:val="28"/>
        </w:rPr>
        <w:t xml:space="preserve"> ошибка места не должна превышать 4% расстояния до навигационной опасности и при этом ее максимальное значение должно быть не более 4 миль.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Позиция судна должна быть определена в пределах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95% фигуры погрешности</w:t>
      </w:r>
      <w:r w:rsidRPr="001A1283">
        <w:rPr>
          <w:rFonts w:ascii="Times New Roman" w:hAnsi="Times New Roman" w:cs="Times New Roman"/>
          <w:sz w:val="28"/>
          <w:szCs w:val="28"/>
        </w:rPr>
        <w:t>, т.е. с вероятностью 95%.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При этом частота определения позиции системой в данном циркуляре лежит в пределах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9 – 300 мин</w:t>
      </w:r>
      <w:r w:rsidRPr="001A1283">
        <w:rPr>
          <w:rFonts w:ascii="Times New Roman" w:hAnsi="Times New Roman" w:cs="Times New Roman"/>
          <w:sz w:val="28"/>
          <w:szCs w:val="28"/>
        </w:rPr>
        <w:t>.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В документе дается следующее определение навигационной опасности: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навигационной опасностью</w:t>
      </w:r>
      <w:r w:rsidRPr="001A1283">
        <w:rPr>
          <w:rFonts w:ascii="Times New Roman" w:hAnsi="Times New Roman" w:cs="Times New Roman"/>
          <w:sz w:val="28"/>
          <w:szCs w:val="28"/>
        </w:rPr>
        <w:t xml:space="preserve"> считается всякий признанный или нанесенный на карту элемент либо граница, которые могут представлять или очерчивать опасность для судна, либо ограничивать район плавания.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Важно на данном этапе отметить, что обе эти резолюции предъявляют требования к определению места судна при помощи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навигационных систем</w:t>
      </w:r>
      <w:r w:rsidRPr="001A1283">
        <w:rPr>
          <w:rFonts w:ascii="Times New Roman" w:hAnsi="Times New Roman" w:cs="Times New Roman"/>
          <w:sz w:val="28"/>
          <w:szCs w:val="28"/>
        </w:rPr>
        <w:t>, а не классическими методами, производимыми вручную (по пеленгам, дистанция, светилам и т.п.)</w:t>
      </w:r>
    </w:p>
    <w:p w:rsidR="00CC5EAB" w:rsidRPr="001A1283" w:rsidRDefault="00CC5EAB" w:rsidP="001A1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Очевидно, что именно поэтому резолюция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устанавливает в качестве основных методов</w:t>
      </w:r>
      <w:r w:rsidRPr="001A1283">
        <w:rPr>
          <w:rFonts w:ascii="Times New Roman" w:hAnsi="Times New Roman" w:cs="Times New Roman"/>
          <w:sz w:val="28"/>
          <w:szCs w:val="28"/>
        </w:rPr>
        <w:t xml:space="preserve"> определения места судна в портовых и прибрежных водах: </w:t>
      </w:r>
      <w:proofErr w:type="gramStart"/>
      <w:r w:rsidRPr="001A1283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Pr="001A1283">
        <w:rPr>
          <w:rFonts w:ascii="Times New Roman" w:hAnsi="Times New Roman" w:cs="Times New Roman"/>
          <w:sz w:val="28"/>
          <w:szCs w:val="28"/>
        </w:rPr>
        <w:t>, по компасным пеленгам, радиолокатору т.д. В то время как использованию радионавигационных систем отводится второй план.</w:t>
      </w:r>
    </w:p>
    <w:p w:rsidR="001A1283" w:rsidRDefault="00CC5EAB" w:rsidP="001A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83">
        <w:rPr>
          <w:rFonts w:ascii="Times New Roman" w:hAnsi="Times New Roman" w:cs="Times New Roman"/>
          <w:sz w:val="28"/>
          <w:szCs w:val="28"/>
        </w:rPr>
        <w:t xml:space="preserve">В свою очередь, эксплуатационные требования к всемирной радионавигационной системе (для судов со скоростью &lt; 30 узлов) согласно резолюции </w:t>
      </w:r>
      <w:r w:rsidRPr="001A1283">
        <w:rPr>
          <w:rFonts w:ascii="Times New Roman" w:hAnsi="Times New Roman" w:cs="Times New Roman"/>
          <w:b/>
          <w:bCs/>
          <w:sz w:val="28"/>
          <w:szCs w:val="28"/>
        </w:rPr>
        <w:t>ИМО А. 953 (23)</w:t>
      </w:r>
      <w:r w:rsidRPr="001A1283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A1283" w:rsidRDefault="001A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587"/>
        <w:gridCol w:w="1481"/>
        <w:gridCol w:w="3196"/>
      </w:tblGrid>
      <w:tr w:rsidR="00CC5EAB" w:rsidRPr="001A1283" w:rsidTr="001A1283">
        <w:trPr>
          <w:trHeight w:val="1303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1283">
              <w:rPr>
                <w:rFonts w:ascii="Times New Roman" w:hAnsi="Times New Roman" w:cs="Times New Roman"/>
                <w:b/>
                <w:bCs/>
              </w:rPr>
              <w:lastRenderedPageBreak/>
              <w:t>Район плавания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  <w:b/>
                <w:bCs/>
              </w:rPr>
              <w:t>Погрешность определения места с вероятностью не менее 95%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  <w:b/>
                <w:bCs/>
              </w:rPr>
              <w:t>Обновление координат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  <w:b/>
                <w:bCs/>
              </w:rPr>
              <w:t>Надежность системы</w:t>
            </w:r>
          </w:p>
        </w:tc>
      </w:tr>
      <w:tr w:rsidR="00CC5EAB" w:rsidRPr="001A1283" w:rsidTr="001A1283">
        <w:trPr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 xml:space="preserve">1.Плавание на входах в порты, подходах к портам и в прибрежных водах с высокой интенсивностью судоходства </w:t>
            </w:r>
            <w:proofErr w:type="gramStart"/>
            <w:r w:rsidRPr="001A1283">
              <w:rPr>
                <w:rFonts w:ascii="Times New Roman" w:hAnsi="Times New Roman" w:cs="Times New Roman"/>
              </w:rPr>
              <w:t>и(</w:t>
            </w:r>
            <w:proofErr w:type="gramEnd"/>
            <w:r w:rsidRPr="001A1283">
              <w:rPr>
                <w:rFonts w:ascii="Times New Roman" w:hAnsi="Times New Roman" w:cs="Times New Roman"/>
              </w:rPr>
              <w:t>или) высоким уровнем риска.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CC5EAB" w:rsidRPr="001A1283" w:rsidRDefault="00CC5EAB" w:rsidP="001A1283">
            <w:pPr>
              <w:tabs>
                <w:tab w:val="left" w:pos="-249"/>
              </w:tabs>
              <w:spacing w:line="240" w:lineRule="auto"/>
              <w:ind w:left="-412" w:firstLine="249"/>
              <w:jc w:val="center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10 метров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1 раз в 10 с. Если для АИС и управления судном, то чаще чем 1 раз в 2 с.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а) более 99,97 % для 3-часового периода;</w:t>
            </w:r>
          </w:p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б) вероятность поступления сигнала от системы, рассчитанная для 2-летнего периода, должна быть более 99,8 %;</w:t>
            </w:r>
          </w:p>
          <w:p w:rsidR="00000000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в) предупреждение о нерабочем состоянии системы должно поступать в пределах 10 секунд</w:t>
            </w:r>
          </w:p>
        </w:tc>
      </w:tr>
      <w:tr w:rsidR="00CC5EAB" w:rsidRPr="001A1283" w:rsidTr="001A1283">
        <w:trPr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 xml:space="preserve">2. Плавание на входах в порты, подходах к портам и в прибрежных с низкой интенсивностью судоходства </w:t>
            </w:r>
            <w:proofErr w:type="gramStart"/>
            <w:r w:rsidRPr="001A1283">
              <w:rPr>
                <w:rFonts w:ascii="Times New Roman" w:hAnsi="Times New Roman" w:cs="Times New Roman"/>
              </w:rPr>
              <w:t>и(</w:t>
            </w:r>
            <w:proofErr w:type="gramEnd"/>
            <w:r w:rsidRPr="001A1283">
              <w:rPr>
                <w:rFonts w:ascii="Times New Roman" w:hAnsi="Times New Roman" w:cs="Times New Roman"/>
              </w:rPr>
              <w:t>или) менее значительным уровнем риска.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1A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а) более 99,85 % для 3-часового периода;</w:t>
            </w:r>
          </w:p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б) вероятность поступления сигнала от системы, рассчитанная для 2-летнего периода, должна превышать 99,5 %;</w:t>
            </w:r>
          </w:p>
          <w:p w:rsidR="00000000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в) предупреждение о нерабочем состоянии системы должно поступать в пределах 10 секунд.</w:t>
            </w:r>
          </w:p>
        </w:tc>
      </w:tr>
      <w:tr w:rsidR="00CC5EAB" w:rsidRPr="001A1283" w:rsidTr="001A1283">
        <w:trPr>
          <w:trHeight w:val="2381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3. Плавание в океанских водах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1A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100 метров</w:t>
            </w: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AB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>а) вероятность поступления сигнала от системы, рассчитанная для 30-дневного периода, должна превышать 99,8 %.</w:t>
            </w:r>
          </w:p>
          <w:p w:rsidR="00000000" w:rsidRPr="001A1283" w:rsidRDefault="00CC5EAB" w:rsidP="00CC5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283">
              <w:rPr>
                <w:rFonts w:ascii="Times New Roman" w:hAnsi="Times New Roman" w:cs="Times New Roman"/>
              </w:rPr>
              <w:t xml:space="preserve">б) предупреждение о нерабочем состоянии системы должно поступать в </w:t>
            </w:r>
            <w:r w:rsidR="001A1283" w:rsidRPr="001A1283">
              <w:rPr>
                <w:rFonts w:ascii="Times New Roman" w:hAnsi="Times New Roman" w:cs="Times New Roman"/>
              </w:rPr>
              <w:t>ближайший</w:t>
            </w:r>
            <w:r w:rsidRPr="001A1283">
              <w:rPr>
                <w:rFonts w:ascii="Times New Roman" w:hAnsi="Times New Roman" w:cs="Times New Roman"/>
              </w:rPr>
              <w:t>, практически возможный, срок.</w:t>
            </w:r>
          </w:p>
        </w:tc>
      </w:tr>
    </w:tbl>
    <w:p w:rsidR="001458AB" w:rsidRDefault="001458AB"/>
    <w:sectPr w:rsidR="001458AB" w:rsidSect="001A1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348"/>
    <w:multiLevelType w:val="hybridMultilevel"/>
    <w:tmpl w:val="D3C82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B"/>
    <w:rsid w:val="001458AB"/>
    <w:rsid w:val="001A1283"/>
    <w:rsid w:val="0062258D"/>
    <w:rsid w:val="00C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Карасев</dc:creator>
  <cp:lastModifiedBy>Владимир В. Карасев</cp:lastModifiedBy>
  <cp:revision>1</cp:revision>
  <dcterms:created xsi:type="dcterms:W3CDTF">2014-11-25T23:44:00Z</dcterms:created>
  <dcterms:modified xsi:type="dcterms:W3CDTF">2014-11-26T00:49:00Z</dcterms:modified>
</cp:coreProperties>
</file>